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1581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Адамова Магомеда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>. извещен надлежащим образом, о причинах неявки суд не уведомил, ходатайств не заявлял. При указанных обстоятельствах суд рассмотрел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>а М.С.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М.С.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>. 18.07.2025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час. 18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1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28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фотография ВУ и свидетельства о регистрации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 к административной ответственности </w:t>
      </w:r>
      <w:r>
        <w:rPr>
          <w:rStyle w:val="cat-UserDefinedgrp-29rplc-3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видео-запись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>а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sz w:val="28"/>
          <w:szCs w:val="28"/>
        </w:rPr>
        <w:t>а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систематическое нарушение Адамовым М.С. Правил дорожного движения, неоднократное привлечение его к административной ответстве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административных штрафов, суд приходит к выводу о необходимости назначения ему наказания в виде лишения специального права.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Адамова Магомеда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транспортными средствами на срок 5 (пять)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Адамову М.С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</w:t>
      </w:r>
      <w:r>
        <w:rPr>
          <w:rFonts w:ascii="Times New Roman" w:eastAsia="Times New Roman" w:hAnsi="Times New Roman" w:cs="Times New Roman"/>
          <w:sz w:val="16"/>
          <w:szCs w:val="16"/>
        </w:rPr>
        <w:t>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1581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10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28rplc-34">
    <w:name w:val="cat-UserDefined grp-28 rplc-34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61ED-21EF-4141-9D01-C2539D555CC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